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tbl>
      <w:tblPr>
        <w:tblW w:w="0" w:type="auto"/>
        <w:tblCellSpacing w:w="20" w:type="dxa"/>
        <w:tblBorders>
          <w:top w:val="none"/>
          <w:left w:val="none"/>
          <w:bottom w:val="none"/>
          <w:right w:val="none"/>
          <w:insideH w:val="none"/>
          <w:insideV w:val="none"/>
        </w:tblBorders>
      </w:tblPr>
      <w:tblGrid>
        <w:gridCol w:w="14040"/>
      </w:tblGrid>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【发布单位】中共中央办公厅 国务院办公厅</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【发布文号】</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【发布日期】2016-07-31</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【生效日期】2016-07-31</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【失效日期】</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【所属类别】政策参考</w:t>
            </w:r>
          </w:p>
        </w:tc>
      </w:tr>
      <w:tr>
        <w:trPr>
          <w:trHeight w:val="30" w:hRule="atLeast"/>
        </w:trPr>
        <w:tc>
          <w:tcPr>
            <w:tcW w:w="14040" w:type="dxa"/>
            <w:tcBorders/>
            <w:tcMar>
              <w:top w:w="15" w:type="dxa"/>
              <w:left w:w="15" w:type="dxa"/>
              <w:bottom w:w="15" w:type="dxa"/>
              <w:right w:w="15" w:type="dxa"/>
            </w:tcMar>
            <w:vAlign w:val="center"/>
          </w:tcPr>
          <w:p>
            <w:pPr>
              <w:spacing w:after="0"/>
              <w:ind w:left="0"/>
              <w:jc w:val="left"/>
            </w:pPr>
            <w:r>
              <w:rPr>
                <w:rFonts w:ascii="Times New Roman" w:hAnsi="Times New Roman"/>
                <w:b w:val="false"/>
                <w:i w:val="false"/>
                <w:color w:val="000000"/>
                <w:sz w:val="21"/>
              </w:rPr>
              <w:t xml:space="preserve">【文件来源】中国政府网 </w:t>
            </w:r>
          </w:p>
        </w:tc>
      </w:tr>
    </w:tbl>
    <w:p>
      <w:pPr>
        <w:spacing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after="0"/>
        <w:ind w:left="120"/>
        <w:jc w:val="center"/>
      </w:pPr>
      <w:r>
        <w:rPr>
          <w:rFonts w:ascii="Times New Roman" w:hAnsi="Times New Roman"/>
          <w:b/>
          <w:i w:val="false"/>
          <w:color w:val="000000"/>
          <w:sz w:val="22"/>
        </w:rPr>
        <w:t>中共中央办公厅、国务院办公厅印发《关于进一步完善中央财政科研项目资金管理等政策的若干意见》</w:t>
      </w:r>
    </w:p>
    <w:p>
      <w:pPr>
        <w:spacing w:after="0"/>
        <w:ind w:left="120"/>
        <w:jc w:val="center"/>
      </w:pPr>
      <w:r>
        <w:rPr>
          <w:rFonts w:ascii="Times New Roman" w:hAnsi="Times New Roman"/>
          <w:b w:val="false"/>
          <w:i w:val="false"/>
          <w:color w:val="000000"/>
          <w:sz w:val="22"/>
        </w:rPr>
        <w:t xml:space="preserve"> </w:t>
      </w:r>
    </w:p>
    <w:p>
      <w:pPr>
        <w:spacing w:after="0"/>
        <w:ind w:left="120"/>
        <w:jc w:val="left"/>
      </w:pPr>
      <w:r>
        <w:rPr>
          <w:rFonts w:ascii="Times New Roman" w:hAnsi="Times New Roman"/>
          <w:b w:val="false"/>
          <w:i w:val="false"/>
          <w:color w:val="000000"/>
          <w:sz w:val="22"/>
        </w:rPr>
        <w:t xml:space="preserve">        近日，中共中央办公厅、国务院办公厅印发了《关于进一步完善中央财政科研项目资金管理等政策的若干意见》，并发出通知，要求各地区各部门结合实际认真贯彻落实。</w:t>
      </w:r>
      <w:r>
        <w:br/>
      </w:r>
      <w:r>
        <w:rPr>
          <w:rFonts w:ascii="Times New Roman" w:hAnsi="Times New Roman"/>
          <w:b w:val="false"/>
          <w:i w:val="false"/>
          <w:color w:val="000000"/>
          <w:sz w:val="22"/>
        </w:rPr>
        <w:t xml:space="preserve">        《关于进一步完善中央财政科研项目资金管理等政策的若干意见》全文如下。</w:t>
      </w:r>
      <w:r>
        <w:br/>
      </w:r>
      <w:r>
        <w:rPr>
          <w:rFonts w:ascii="Times New Roman" w:hAnsi="Times New Roman"/>
          <w:b w:val="false"/>
          <w:i w:val="false"/>
          <w:color w:val="000000"/>
          <w:sz w:val="22"/>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r>
        <w:br/>
      </w:r>
      <w:r>
        <w:rPr>
          <w:rFonts w:ascii="Times New Roman" w:hAnsi="Times New Roman"/>
          <w:b w:val="false"/>
          <w:i w:val="false"/>
          <w:color w:val="000000"/>
          <w:sz w:val="22"/>
        </w:rPr>
        <w:t xml:space="preserve">        一、总体要求</w:t>
      </w:r>
      <w:r>
        <w:br/>
      </w:r>
      <w:r>
        <w:rPr>
          <w:rFonts w:ascii="Times New Roman" w:hAnsi="Times New Roman"/>
          <w:b w:val="false"/>
          <w:i w:val="false"/>
          <w:color w:val="000000"/>
          <w:sz w:val="22"/>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r>
        <w:br/>
      </w:r>
      <w:r>
        <w:rPr>
          <w:rFonts w:ascii="Times New Roman" w:hAnsi="Times New Roman"/>
          <w:b w:val="false"/>
          <w:i w:val="false"/>
          <w:color w:val="000000"/>
          <w:sz w:val="22"/>
        </w:rPr>
        <w:t xml:space="preserve">        ——坚持以人为本。以调动科研人员积极性和创造性为出发点和落脚点，强化激励机制，加大激励力度，激发创新创造活力。</w:t>
      </w:r>
      <w:r>
        <w:br/>
      </w:r>
      <w:r>
        <w:rPr>
          <w:rFonts w:ascii="Times New Roman" w:hAnsi="Times New Roman"/>
          <w:b w:val="false"/>
          <w:i w:val="false"/>
          <w:color w:val="000000"/>
          <w:sz w:val="22"/>
        </w:rPr>
        <w:t xml:space="preserve">        ——坚持遵循规律。按照科研活动规律和财政预算管理要求，完善管理政策，优化管理流程，改进管理方式，适应科研活动实际需要。</w:t>
      </w:r>
      <w:r>
        <w:br/>
      </w:r>
      <w:r>
        <w:rPr>
          <w:rFonts w:ascii="Times New Roman" w:hAnsi="Times New Roman"/>
          <w:b w:val="false"/>
          <w:i w:val="false"/>
          <w:color w:val="000000"/>
          <w:sz w:val="22"/>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r>
        <w:br/>
      </w:r>
      <w:r>
        <w:rPr>
          <w:rFonts w:ascii="Times New Roman" w:hAnsi="Times New Roman"/>
          <w:b w:val="false"/>
          <w:i w:val="false"/>
          <w:color w:val="000000"/>
          <w:sz w:val="22"/>
        </w:rPr>
        <w:t xml:space="preserve">        ——坚持政策落实落地。细化实化政策规定，加强督查，狠抓落实，打通政策执行中的“堵点”，增强科研人员改革的成就感和获得感。</w:t>
      </w:r>
      <w:r>
        <w:br/>
      </w:r>
      <w:r>
        <w:rPr>
          <w:rFonts w:ascii="Times New Roman" w:hAnsi="Times New Roman"/>
          <w:b w:val="false"/>
          <w:i w:val="false"/>
          <w:color w:val="000000"/>
          <w:sz w:val="22"/>
        </w:rPr>
        <w:t xml:space="preserve">        二、改进中央财政科研项目资金管理</w:t>
      </w:r>
      <w:r>
        <w:br/>
      </w:r>
      <w:r>
        <w:rPr>
          <w:rFonts w:ascii="Times New Roman" w:hAnsi="Times New Roman"/>
          <w:b w:val="false"/>
          <w:i w:val="false"/>
          <w:color w:val="000000"/>
          <w:sz w:val="22"/>
        </w:rPr>
        <w:t xml:space="preserve">        （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r>
        <w:br/>
      </w:r>
      <w:r>
        <w:rPr>
          <w:rFonts w:ascii="Times New Roman" w:hAnsi="Times New Roman"/>
          <w:b w:val="false"/>
          <w:i w:val="false"/>
          <w:color w:val="000000"/>
          <w:sz w:val="22"/>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研人员的激励力度，取消绩效支出比例限制。项目承担单位在统筹安排间接费用时，要处理好合理分摊间接成本和对科研人员激励的关系，绩效支出安排与科研人员在项目工作中的实际贡献挂钩。</w:t>
      </w:r>
      <w:r>
        <w:br/>
      </w:r>
      <w:r>
        <w:rPr>
          <w:rFonts w:ascii="Times New Roman" w:hAnsi="Times New Roman"/>
          <w:b w:val="false"/>
          <w:i w:val="false"/>
          <w:color w:val="000000"/>
          <w:sz w:val="22"/>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r>
        <w:br/>
      </w:r>
      <w:r>
        <w:rPr>
          <w:rFonts w:ascii="Times New Roman" w:hAnsi="Times New Roman"/>
          <w:b w:val="false"/>
          <w:i w:val="false"/>
          <w:color w:val="000000"/>
          <w:sz w:val="22"/>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r>
        <w:br/>
      </w:r>
      <w:r>
        <w:rPr>
          <w:rFonts w:ascii="Times New Roman" w:hAnsi="Times New Roman"/>
          <w:b w:val="false"/>
          <w:i w:val="false"/>
          <w:color w:val="000000"/>
          <w:sz w:val="22"/>
        </w:rPr>
        <w:t xml:space="preserve">        （五）自主规范管理横向经费。项目承担单位以市场委托方式取得的横向经费，纳入单位财务统一管理，由项目承担单位按照委托方要求或合同约定管理使用。</w:t>
      </w:r>
      <w:r>
        <w:br/>
      </w:r>
      <w:r>
        <w:rPr>
          <w:rFonts w:ascii="Times New Roman" w:hAnsi="Times New Roman"/>
          <w:b w:val="false"/>
          <w:i w:val="false"/>
          <w:color w:val="000000"/>
          <w:sz w:val="22"/>
        </w:rPr>
        <w:t xml:space="preserve">        三、完善中央高校、科研院所差旅会议管理</w:t>
      </w:r>
      <w:r>
        <w:br/>
      </w:r>
      <w:r>
        <w:rPr>
          <w:rFonts w:ascii="Times New Roman" w:hAnsi="Times New Roman"/>
          <w:b w:val="false"/>
          <w:i w:val="false"/>
          <w:color w:val="000000"/>
          <w:sz w:val="22"/>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r>
        <w:br/>
      </w:r>
      <w:r>
        <w:rPr>
          <w:rFonts w:ascii="Times New Roman" w:hAnsi="Times New Roman"/>
          <w:b w:val="false"/>
          <w:i w:val="false"/>
          <w:color w:val="000000"/>
          <w:sz w:val="22"/>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r>
        <w:br/>
      </w:r>
      <w:r>
        <w:rPr>
          <w:rFonts w:ascii="Times New Roman" w:hAnsi="Times New Roman"/>
          <w:b w:val="false"/>
          <w:i w:val="false"/>
          <w:color w:val="000000"/>
          <w:sz w:val="22"/>
        </w:rPr>
        <w:t xml:space="preserve">        四、完善中央高校、科研院所科研仪器设备采购管理</w:t>
      </w:r>
      <w:r>
        <w:br/>
      </w:r>
      <w:r>
        <w:rPr>
          <w:rFonts w:ascii="Times New Roman" w:hAnsi="Times New Roman"/>
          <w:b w:val="false"/>
          <w:i w:val="false"/>
          <w:color w:val="000000"/>
          <w:sz w:val="22"/>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r>
        <w:br/>
      </w:r>
      <w:r>
        <w:rPr>
          <w:rFonts w:ascii="Times New Roman" w:hAnsi="Times New Roman"/>
          <w:b w:val="false"/>
          <w:i w:val="false"/>
          <w:color w:val="000000"/>
          <w:sz w:val="22"/>
        </w:rPr>
        <w:t xml:space="preserve">        （二）优化进口仪器设备采购服务。对中央高校、科研院所采购进口仪器设备实行备案制管理。继续落实进口科研教学用品免税政策。</w:t>
      </w:r>
      <w:r>
        <w:br/>
      </w:r>
      <w:r>
        <w:rPr>
          <w:rFonts w:ascii="Times New Roman" w:hAnsi="Times New Roman"/>
          <w:b w:val="false"/>
          <w:i w:val="false"/>
          <w:color w:val="000000"/>
          <w:sz w:val="22"/>
        </w:rPr>
        <w:t>五、完善中央高校、科研院所基本建设项目管理</w:t>
      </w:r>
      <w:r>
        <w:br/>
      </w:r>
      <w:r>
        <w:rPr>
          <w:rFonts w:ascii="Times New Roman" w:hAnsi="Times New Roman"/>
          <w:b w:val="false"/>
          <w:i w:val="false"/>
          <w:color w:val="000000"/>
          <w:sz w:val="22"/>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r>
        <w:br/>
      </w:r>
      <w:r>
        <w:rPr>
          <w:rFonts w:ascii="Times New Roman" w:hAnsi="Times New Roman"/>
          <w:b w:val="false"/>
          <w:i w:val="false"/>
          <w:color w:val="000000"/>
          <w:sz w:val="22"/>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r>
        <w:br/>
      </w:r>
      <w:r>
        <w:rPr>
          <w:rFonts w:ascii="Times New Roman" w:hAnsi="Times New Roman"/>
          <w:b w:val="false"/>
          <w:i w:val="false"/>
          <w:color w:val="000000"/>
          <w:sz w:val="22"/>
        </w:rPr>
        <w:t xml:space="preserve">        六、规范管理，改进服务</w:t>
      </w:r>
      <w:r>
        <w:br/>
      </w:r>
      <w:r>
        <w:rPr>
          <w:rFonts w:ascii="Times New Roman" w:hAnsi="Times New Roman"/>
          <w:b w:val="false"/>
          <w:i w:val="false"/>
          <w:color w:val="000000"/>
          <w:sz w:val="22"/>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r>
        <w:br/>
      </w:r>
      <w:r>
        <w:rPr>
          <w:rFonts w:ascii="Times New Roman" w:hAnsi="Times New Roman"/>
          <w:b w:val="false"/>
          <w:i w:val="false"/>
          <w:color w:val="000000"/>
          <w:sz w:val="22"/>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r>
        <w:br/>
      </w:r>
      <w:r>
        <w:rPr>
          <w:rFonts w:ascii="Times New Roman" w:hAnsi="Times New Roman"/>
          <w:b w:val="false"/>
          <w:i w:val="false"/>
          <w:color w:val="000000"/>
          <w:sz w:val="22"/>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r>
        <w:br/>
      </w:r>
      <w:r>
        <w:rPr>
          <w:rFonts w:ascii="Times New Roman" w:hAnsi="Times New Roman"/>
          <w:b w:val="false"/>
          <w:i w:val="false"/>
          <w:color w:val="000000"/>
          <w:sz w:val="22"/>
        </w:rPr>
        <w:t xml:space="preserve">        七、加强制度建设和工作督查，确保政策措施落地见效</w:t>
      </w:r>
      <w:r>
        <w:br/>
      </w:r>
      <w:r>
        <w:rPr>
          <w:rFonts w:ascii="Times New Roman" w:hAnsi="Times New Roman"/>
          <w:b w:val="false"/>
          <w:i w:val="false"/>
          <w:color w:val="000000"/>
          <w:sz w:val="22"/>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r>
        <w:br/>
      </w:r>
      <w:r>
        <w:rPr>
          <w:rFonts w:ascii="Times New Roman" w:hAnsi="Times New Roman"/>
          <w:b w:val="false"/>
          <w:i w:val="false"/>
          <w:color w:val="000000"/>
          <w:sz w:val="22"/>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r>
        <w:br/>
      </w:r>
      <w:r>
        <w:rPr>
          <w:rFonts w:ascii="Times New Roman" w:hAnsi="Times New Roman"/>
          <w:b w:val="false"/>
          <w:i w:val="false"/>
          <w:color w:val="000000"/>
          <w:sz w:val="22"/>
        </w:rPr>
        <w:t xml:space="preserve">        财政部、中央级社科类科研项目主管部门要结合社会科学研究的规律和特点，参照本意见尽快修订中央级社科类科研项目资金管理办法。</w:t>
      </w:r>
      <w:r>
        <w:br/>
      </w:r>
      <w:r>
        <w:rPr>
          <w:rFonts w:ascii="Times New Roman" w:hAnsi="Times New Roman"/>
          <w:b w:val="false"/>
          <w:i w:val="false"/>
          <w:color w:val="000000"/>
          <w:sz w:val="22"/>
        </w:rPr>
        <w:t xml:space="preserve">        各地区要参照本意见精神，结合实际，加快推进科研项目资金管理改革等各项工作。</w:t>
      </w:r>
      <w:r>
        <w:br/>
      </w:r>
      <w:r>
        <w:br/>
      </w:r>
      <w:r>
        <w:br/>
      </w:r>
      <w:r>
        <w:br/>
      </w:r>
      <w:r>
        <w:br/>
      </w:r>
      <w:r>
        <w:br/>
      </w:r>
      <w:r>
        <w:br/>
      </w:r>
      <w:r>
        <w:br/>
      </w:r>
    </w:p>
    <w:p>
      <w:pPr>
        <w:spacing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after="0"/>
        <w:ind w:left="120"/>
        <w:jc w:val="left"/>
      </w:pP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r>
        <w:br/>
      </w:r>
      <w:r>
        <w:rPr>
          <w:rFonts w:ascii="Times New Roman" w:hAnsi="Times New Roman"/>
          <w:b w:val="false"/>
          <w:i w:val="false"/>
          <w:color w:val="000000"/>
          <w:sz w:val="22"/>
        </w:rPr>
        <w:t xml:space="preserve">
   </w:t>
      </w:r>
    </w:p>
    <w:p>
      <w:pPr>
        <w:spacing w:after="0"/>
        <w:ind w:left="120"/>
        <w:jc w:val="left"/>
      </w:pPr>
      <w:r>
        <w:rPr>
          <w:rFonts w:ascii="Times New Roman" w:hAnsi="Times New Roman"/>
          <w:b w:val="false"/>
          <w:i w:val="false"/>
          <w:color w:val="ff0000"/>
          <w:sz w:val="22"/>
        </w:rPr>
        <w:t>本内容来源于政府官方网站，如需引用，请以正式文件为准。</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