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06" w:type="dxa"/>
        <w:jc w:val="center"/>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Layout w:type="fixed"/>
          <w:tblCellMar>
            <w:top w:w="0" w:type="dxa"/>
            <w:left w:w="0" w:type="dxa"/>
            <w:bottom w:w="0" w:type="dxa"/>
            <w:right w:w="0" w:type="dxa"/>
          </w:tblCellMar>
        </w:tblPrEx>
        <w:trPr>
          <w:tblCellSpacing w:w="0" w:type="dxa"/>
          <w:jc w:val="center"/>
        </w:trPr>
        <w:tc>
          <w:tcPr>
            <w:tcW w:w="8306" w:type="dxa"/>
            <w:shd w:val="clear" w:color="auto" w:fill="auto"/>
            <w:vAlign w:val="center"/>
          </w:tcPr>
          <w:tbl>
            <w:tblPr>
              <w:tblStyle w:val="3"/>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Layout w:type="fixed"/>
                <w:tblCellMar>
                  <w:top w:w="0" w:type="dxa"/>
                  <w:left w:w="0" w:type="dxa"/>
                  <w:bottom w:w="0" w:type="dxa"/>
                  <w:right w:w="0" w:type="dxa"/>
                </w:tblCellMar>
              </w:tblPrEx>
              <w:trPr>
                <w:trHeight w:val="555" w:hRule="atLeast"/>
                <w:tblCellSpacing w:w="0" w:type="dxa"/>
              </w:trPr>
              <w:tc>
                <w:tcPr>
                  <w:tcW w:w="8306" w:type="dxa"/>
                  <w:shd w:val="clear" w:color="auto" w:fill="auto"/>
                  <w:vAlign w:val="center"/>
                </w:tcPr>
                <w:p>
                  <w:pPr>
                    <w:keepNext w:val="0"/>
                    <w:keepLines w:val="0"/>
                    <w:widowControl/>
                    <w:suppressLineNumbers w:val="0"/>
                    <w:spacing w:line="432" w:lineRule="auto"/>
                    <w:jc w:val="center"/>
                    <w:rPr>
                      <w:rFonts w:hint="eastAsia" w:ascii="宋体" w:hAnsi="宋体" w:eastAsia="宋体" w:cs="宋体"/>
                      <w:b/>
                      <w:color w:val="185895"/>
                      <w:sz w:val="36"/>
                      <w:szCs w:val="36"/>
                    </w:rPr>
                  </w:pPr>
                  <w:r>
                    <w:rPr>
                      <w:rFonts w:hint="eastAsia" w:ascii="宋体" w:hAnsi="宋体" w:eastAsia="宋体" w:cs="宋体"/>
                      <w:b/>
                      <w:color w:val="185895"/>
                      <w:kern w:val="0"/>
                      <w:sz w:val="36"/>
                      <w:szCs w:val="36"/>
                      <w:lang w:val="en-US" w:eastAsia="zh-CN" w:bidi="ar"/>
                    </w:rPr>
                    <w:t xml:space="preserve">关于抓好赋予科研机构和人员更大自主权有关文件贯彻落实的通知 </w:t>
                  </w:r>
                </w:p>
              </w:tc>
            </w:tr>
          </w:tbl>
          <w:p>
            <w:pPr>
              <w:rPr>
                <w:vanish/>
                <w:sz w:val="24"/>
                <w:szCs w:val="24"/>
              </w:rPr>
            </w:pPr>
          </w:p>
          <w:tbl>
            <w:tblPr>
              <w:tblStyle w:val="3"/>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16" w:hRule="atLeast"/>
                <w:tblCellSpacing w:w="0" w:type="dxa"/>
                <w:hidden/>
              </w:trPr>
              <w:tc>
                <w:tcPr>
                  <w:tcW w:w="8306" w:type="dxa"/>
                  <w:shd w:val="clear" w:color="auto" w:fill="auto"/>
                  <w:vAlign w:val="center"/>
                </w:tcPr>
                <w:p>
                  <w:pPr>
                    <w:pStyle w:val="8"/>
                    <w:keepNext w:val="0"/>
                    <w:keepLines w:val="0"/>
                    <w:widowControl/>
                    <w:suppressLineNumbers w:val="0"/>
                    <w:spacing w:line="432" w:lineRule="auto"/>
                  </w:pPr>
                  <w:r>
                    <w:rPr>
                      <w:vanish/>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tc>
            </w:tr>
          </w:tbl>
          <w:p>
            <w:pPr>
              <w:rPr>
                <w:vanish/>
                <w:sz w:val="24"/>
                <w:szCs w:val="24"/>
              </w:rPr>
            </w:pPr>
          </w:p>
          <w:tbl>
            <w:tblPr>
              <w:tblStyle w:val="3"/>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color="auto" w:fill="auto"/>
                  <w:vAlign w:val="center"/>
                </w:tcPr>
                <w:p>
                  <w:pPr>
                    <w:jc w:val="left"/>
                    <w:rPr>
                      <w:rFonts w:hint="eastAsia" w:ascii="宋体" w:hAnsi="宋体" w:eastAsia="宋体" w:cs="宋体"/>
                      <w:sz w:val="24"/>
                      <w:szCs w:val="24"/>
                    </w:rPr>
                  </w:pPr>
                </w:p>
              </w:tc>
            </w:tr>
          </w:tbl>
          <w:p>
            <w:pPr>
              <w:spacing w:line="432" w:lineRule="auto"/>
              <w:jc w:val="left"/>
              <w:rPr>
                <w:rFonts w:hint="eastAsia" w:ascii="宋体" w:hAnsi="宋体" w:eastAsia="宋体" w:cs="宋体"/>
                <w:sz w:val="18"/>
                <w:szCs w:val="18"/>
              </w:rPr>
            </w:pPr>
          </w:p>
        </w:tc>
      </w:tr>
      <w:tr>
        <w:tblPrEx>
          <w:shd w:val="clear" w:color="auto" w:fill="auto"/>
          <w:tblLayout w:type="fixed"/>
          <w:tblCellMar>
            <w:top w:w="0" w:type="dxa"/>
            <w:left w:w="0" w:type="dxa"/>
            <w:bottom w:w="0" w:type="dxa"/>
            <w:right w:w="0" w:type="dxa"/>
          </w:tblCellMar>
        </w:tblPrEx>
        <w:trPr>
          <w:tblCellSpacing w:w="0" w:type="dxa"/>
          <w:jc w:val="center"/>
        </w:trPr>
        <w:tc>
          <w:tcPr>
            <w:tcW w:w="8306" w:type="dxa"/>
            <w:shd w:val="clear" w:color="auto" w:fill="auto"/>
            <w:vAlign w:val="center"/>
          </w:tcPr>
          <w:tbl>
            <w:tblPr>
              <w:tblStyle w:val="3"/>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8306" w:type="dxa"/>
                  <w:shd w:val="clear" w:color="auto" w:fill="FFFFFF"/>
                  <w:vAlign w:val="top"/>
                </w:tcPr>
                <w:tbl>
                  <w:tblPr>
                    <w:tblStyle w:val="3"/>
                    <w:tblW w:w="8305" w:type="dxa"/>
                    <w:jc w:val="center"/>
                    <w:tblCellSpacing w:w="0" w:type="dxa"/>
                    <w:tblInd w:w="1" w:type="dxa"/>
                    <w:shd w:val="clear" w:color="auto" w:fill="auto"/>
                    <w:tblLayout w:type="fixed"/>
                    <w:tblCellMar>
                      <w:top w:w="0" w:type="dxa"/>
                      <w:left w:w="0" w:type="dxa"/>
                      <w:bottom w:w="0" w:type="dxa"/>
                      <w:right w:w="0" w:type="dxa"/>
                    </w:tblCellMar>
                  </w:tblPr>
                  <w:tblGrid>
                    <w:gridCol w:w="912"/>
                    <w:gridCol w:w="7393"/>
                  </w:tblGrid>
                  <w:tr>
                    <w:tblPrEx>
                      <w:shd w:val="clear" w:color="auto" w:fill="auto"/>
                      <w:tblLayout w:type="fixed"/>
                      <w:tblCellMar>
                        <w:top w:w="0" w:type="dxa"/>
                        <w:left w:w="0" w:type="dxa"/>
                        <w:bottom w:w="0" w:type="dxa"/>
                        <w:right w:w="0" w:type="dxa"/>
                      </w:tblCellMar>
                    </w:tblPrEx>
                    <w:trPr>
                      <w:tblCellSpacing w:w="0" w:type="dxa"/>
                      <w:jc w:val="center"/>
                    </w:trPr>
                    <w:tc>
                      <w:tcPr>
                        <w:tcW w:w="8305" w:type="dxa"/>
                        <w:gridSpan w:val="2"/>
                        <w:shd w:val="clear" w:color="auto" w:fill="auto"/>
                        <w:vAlign w:val="center"/>
                      </w:tcPr>
                      <w:p>
                        <w:pPr>
                          <w:pStyle w:val="2"/>
                          <w:keepNext w:val="0"/>
                          <w:keepLines w:val="0"/>
                          <w:widowControl/>
                          <w:suppressLineNumbers w:val="0"/>
                          <w:spacing w:before="0" w:beforeAutospacing="1" w:after="0" w:afterAutospacing="1" w:line="432" w:lineRule="auto"/>
                          <w:ind w:left="0" w:right="0"/>
                          <w:jc w:val="center"/>
                        </w:pPr>
                        <w:r>
                          <w:rPr>
                            <w:rFonts w:hint="eastAsia" w:ascii="宋体" w:hAnsi="宋体" w:eastAsia="宋体" w:cs="宋体"/>
                            <w:sz w:val="24"/>
                            <w:szCs w:val="24"/>
                          </w:rPr>
                          <w:t>财办发〔2019〕7号</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各省、自治区、直辖市、计划单列市财政厅（局），新疆生产建设兵团财政局：</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近期，国务院办公厅印发《关于抓好赋予科研机构和人员更大自主权有关文件贯彻落实的通知》（国办发〔2018〕127号），为做好贯彻落实工作，现就有关事项通知如下：</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w:t>
                        </w:r>
                        <w:r>
                          <w:rPr>
                            <w:rStyle w:val="5"/>
                            <w:rFonts w:hint="eastAsia" w:ascii="宋体" w:hAnsi="宋体" w:eastAsia="宋体" w:cs="宋体"/>
                            <w:sz w:val="24"/>
                            <w:szCs w:val="24"/>
                          </w:rPr>
                          <w:t>一、高度重视，切实提高对抓好赋予科研机构和人员自主权有关文件贯彻落实的思想认识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近年来，党中央、国务院大力推进科技领域“放管服”改革，在完善科研项目资金管理、提升科研绩效、推进科技成果转化等方面出台了一系列政策文件，多措并举赋予了科研单位和科研人员更大自主权，受到科研单位和科研人员的普遍欢迎。同时，在相关文件贯彻落实过程中，部分地区还不同程度存在进展缓慢、部分政策措施落实不到位等问题，影响了政策效果。各级财政部门要提高认识，坚持以习近平新时代中国特色社会主义思想为指导，深入学习贯彻习近平总书记关于科技创新重要论述精神，进一步提高政治站位，深刻认识狠抓赋予科研单位和科研人员更大自主权文件贯彻落实，是激发创新创造活力的重要举措，是实施创新驱动发展战略、推进建设创新型国家、加快实现经济高质量发展的必然要求，意义十分重大，必须切实增强抓好文件落实的使命感、责任感和紧迫感。要按照国办发〔2018〕127号文件的部署和要求，明确目标、快速行动，切实解决相关文件执行中的堵点和难点问题，进一步调动科研人员积极性、推动释放更多创新创造活力。</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w:t>
                        </w:r>
                        <w:r>
                          <w:rPr>
                            <w:rStyle w:val="5"/>
                            <w:rFonts w:hint="eastAsia" w:ascii="宋体" w:hAnsi="宋体" w:eastAsia="宋体" w:cs="宋体"/>
                            <w:sz w:val="24"/>
                            <w:szCs w:val="24"/>
                          </w:rPr>
                          <w:t>二、严格落实相关文件确定的政策举措</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（一）全面深入开展自查。各地要按照《中共中央办公厅 国务院办公厅印发〈关于进一步完善中央财政科研项目资金管理等政策的若干意见〉的通知》和《国务院关于优化科研管理提升科研绩效若干措施的通知》（国发〔2018〕25号）等文件精神，对标对表文件的部署和要求，全面自查有关政策举措是否在本地落实落地、本地制定的政策中是否存在与中央精神不符的规定等，系统梳理政策落实中存在的问题。</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抓紧修订完善相关政策措施。各地要针对自查中发现的问题，积极会同相关部门修订完善相关政策措施，切实将赋予科研机构和科研人员的科研项目资金管理、科研仪器设备采购管理、差旅和会议管理等方面的自主权制度化。要在相关管理制度中进一步明确科研机构在承接自主权方面的责任，特别是聚焦科研经费报销难等科研人员反映强烈的问题，进一步要求单位健全完善内部管理制度，推动单位实现“接得住、落得好”下放的自主权。</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加强政策衔接。各地要深入梳理、及时解决财政科技制度规定与相关政策规定不协调、不衔接的问题，采取切实有效措施解决“政策打架”“相互掣肘”的问题，增加政策措施的可操作性和有效性，推动形成协调配合、相互支撑的政策环境，形成激励科研机构和科研人员创新创造的政策合力。</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w:t>
                        </w:r>
                        <w:r>
                          <w:rPr>
                            <w:rStyle w:val="5"/>
                            <w:rFonts w:hint="eastAsia" w:ascii="宋体" w:hAnsi="宋体" w:eastAsia="宋体" w:cs="宋体"/>
                            <w:sz w:val="24"/>
                            <w:szCs w:val="24"/>
                          </w:rPr>
                          <w:t>三、以改革精神推进优化完善相关管理措施</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各地要在依法依规加强财政管理的同时，围绕积极营造更加宽松的创新环境，坚持遵循中央改革精神和结合本地实际相结合，以改革精神持续完善有利于激发科研人员创新积极性的管理措施，着力优化服务流程、创新服务方式、提升服务效果，在精简信息和材料报送、改进科研项目预算评审、完善科技资金预算执行管理、简化科技成果转化相关国有资产管理程序、推动科研单位更好落实自主权等方面积极探索有效方式。针对相关政策落实中出现的新情况和新问题，要及时研究解决。</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w:t>
                        </w:r>
                        <w:r>
                          <w:rPr>
                            <w:rStyle w:val="5"/>
                            <w:rFonts w:hint="eastAsia" w:ascii="宋体" w:hAnsi="宋体" w:eastAsia="宋体" w:cs="宋体"/>
                            <w:sz w:val="24"/>
                            <w:szCs w:val="24"/>
                          </w:rPr>
                          <w:t>四、切实加强宣传培训和督促指导</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（一）加强宣传和培训工作。各地要进一步加强对中央和本地已制定出台文件的学习宣传培训力度，</w:t>
                        </w:r>
                        <w:bookmarkStart w:id="0" w:name="_GoBack"/>
                        <w:bookmarkEnd w:id="0"/>
                        <w:r>
                          <w:rPr>
                            <w:rFonts w:hint="eastAsia" w:ascii="宋体" w:hAnsi="宋体" w:eastAsia="宋体" w:cs="宋体"/>
                            <w:sz w:val="24"/>
                            <w:szCs w:val="24"/>
                          </w:rPr>
                          <w:t>对《中共中央办公厅 国务院办公厅印发〈关于进一步完善中央财政科研项目资金管理等政策的若干意见〉的通知》、国发〔2018〕25号和国办发〔2018〕127号等重要政策文件，要会同有关部门有计划、分层次地开展培训，做好政策解读。要加大对高校和科研院所预算和财务管理工作以及财务管理人员的培训力度，切实提高单位管理水平。</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强化督促指导，狠抓政策落实。各地要健全工作机制和责任机制，切实采取有效措施，将国办发〔2018〕127号文件有关要求不折不扣落实到位。要加强与主管部门的协调配合，切实发挥主管部门对所属科研单位落实政策的指导督促作用，形成推动政策落实的合力。注重发挥社会监督作用，畅通反映问题渠道，鼓励科研单位和科研人员对政策落实情况进行监督。要注重收集、总结政策执行中的好做法、好经验、好案例，及时宣传推广，推动政策落地生效。</w:t>
                        </w:r>
                      </w:p>
                      <w:p>
                        <w:pPr>
                          <w:pStyle w:val="2"/>
                          <w:keepNext w:val="0"/>
                          <w:keepLines w:val="0"/>
                          <w:widowControl/>
                          <w:suppressLineNumbers w:val="0"/>
                          <w:spacing w:before="0" w:beforeAutospacing="1" w:after="0" w:afterAutospacing="1" w:line="432" w:lineRule="auto"/>
                          <w:ind w:left="0" w:right="0"/>
                          <w:jc w:val="center"/>
                        </w:pPr>
                        <w:r>
                          <w:rPr>
                            <w:rFonts w:hint="eastAsia" w:ascii="宋体" w:hAnsi="宋体" w:eastAsia="宋体" w:cs="宋体"/>
                            <w:sz w:val="24"/>
                            <w:szCs w:val="24"/>
                          </w:rPr>
                          <w:t>财政部办公厅　　                                               　2019年1月22日</w:t>
                        </w:r>
                      </w:p>
                    </w:tc>
                  </w:tr>
                  <w:tr>
                    <w:tblPrEx>
                      <w:tblLayout w:type="fixed"/>
                      <w:tblCellMar>
                        <w:top w:w="0" w:type="dxa"/>
                        <w:left w:w="0" w:type="dxa"/>
                        <w:bottom w:w="0" w:type="dxa"/>
                        <w:right w:w="0" w:type="dxa"/>
                      </w:tblCellMar>
                    </w:tblPrEx>
                    <w:trPr>
                      <w:tblCellSpacing w:w="0" w:type="dxa"/>
                      <w:jc w:val="center"/>
                      <w:hidden/>
                    </w:trPr>
                    <w:tc>
                      <w:tcPr>
                        <w:tcW w:w="912" w:type="dxa"/>
                        <w:shd w:val="clear" w:color="auto" w:fill="auto"/>
                        <w:vAlign w:val="top"/>
                      </w:tcPr>
                      <w:p>
                        <w:pPr>
                          <w:keepNext w:val="0"/>
                          <w:keepLines w:val="0"/>
                          <w:widowControl/>
                          <w:suppressLineNumbers w:val="0"/>
                          <w:spacing w:line="432" w:lineRule="auto"/>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 xml:space="preserve">  </w:t>
                        </w:r>
                      </w:p>
                      <w:p>
                        <w:pPr>
                          <w:pStyle w:val="2"/>
                          <w:keepNext w:val="0"/>
                          <w:keepLines w:val="0"/>
                          <w:widowControl/>
                          <w:suppressLineNumbers w:val="0"/>
                          <w:spacing w:line="432" w:lineRule="auto"/>
                          <w:jc w:val="left"/>
                          <w:rPr>
                            <w:vanish/>
                          </w:rPr>
                        </w:pPr>
                        <w:r>
                          <w:rPr>
                            <w:rFonts w:hint="eastAsia" w:ascii="宋体" w:hAnsi="宋体" w:eastAsia="宋体" w:cs="宋体"/>
                            <w:vanish/>
                            <w:sz w:val="24"/>
                            <w:szCs w:val="24"/>
                          </w:rPr>
                          <w:t>附件下载:</w:t>
                        </w:r>
                      </w:p>
                    </w:tc>
                    <w:tc>
                      <w:tcPr>
                        <w:tcW w:w="7393" w:type="dxa"/>
                        <w:shd w:val="clear" w:color="auto" w:fill="auto"/>
                        <w:vAlign w:val="top"/>
                      </w:tcPr>
                      <w:p>
                        <w:pPr>
                          <w:keepNext w:val="0"/>
                          <w:keepLines w:val="0"/>
                          <w:widowControl/>
                          <w:suppressLineNumbers w:val="0"/>
                          <w:spacing w:line="432" w:lineRule="auto"/>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 xml:space="preserve">  </w:t>
                        </w:r>
                      </w:p>
                    </w:tc>
                  </w:tr>
                </w:tbl>
                <w:p>
                  <w:pPr>
                    <w:jc w:val="center"/>
                    <w:rPr>
                      <w:rFonts w:hint="eastAsia" w:ascii="宋体" w:hAnsi="宋体" w:eastAsia="宋体" w:cs="宋体"/>
                      <w:sz w:val="18"/>
                      <w:szCs w:val="18"/>
                    </w:rPr>
                  </w:pPr>
                </w:p>
              </w:tc>
            </w:tr>
          </w:tbl>
          <w:p>
            <w:pPr>
              <w:spacing w:line="432" w:lineRule="auto"/>
              <w:jc w:val="center"/>
              <w:rPr>
                <w:rFonts w:hint="eastAsia" w:ascii="宋体" w:hAnsi="宋体" w:eastAsia="宋体" w:cs="宋体"/>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D47EF"/>
    <w:rsid w:val="44963321"/>
    <w:rsid w:val="48DD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FF0000"/>
      <w:sz w:val="18"/>
      <w:szCs w:val="18"/>
      <w:u w:val="none"/>
    </w:rPr>
  </w:style>
  <w:style w:type="character" w:styleId="7">
    <w:name w:val="Hyperlink"/>
    <w:basedOn w:val="4"/>
    <w:uiPriority w:val="0"/>
    <w:rPr>
      <w:color w:val="000000"/>
      <w:sz w:val="18"/>
      <w:szCs w:val="18"/>
      <w:u w:val="none"/>
    </w:rPr>
  </w:style>
  <w:style w:type="paragraph" w:customStyle="1" w:styleId="8">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2019-04-02T13:21:00Z</dcterms:created>
  <dc:creator>WANG</dc:creator>
  <cp:lastModifiedBy>WANG</cp:lastModifiedBy>
  <cp:lastPrinted>2019-04-04T00:50:33Z</cp:lastPrinted>
  <dcterms:modified xsi:type="dcterms:W3CDTF">2019-04-04T03:06:09Z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